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5586B33" w14:textId="0AD13844" w:rsidR="003A37ED" w:rsidRPr="00402D88" w:rsidRDefault="003A37ED" w:rsidP="00733A0D">
      <w:pPr>
        <w:jc w:val="both"/>
        <w:rPr>
          <w:rFonts w:ascii="Arial" w:eastAsia="Times New Roman" w:hAnsi="Arial" w:cs="Arial"/>
          <w:b/>
          <w:bCs/>
          <w:sz w:val="20"/>
          <w:szCs w:val="20"/>
          <w:lang w:eastAsia="es-ES_tradnl"/>
        </w:rPr>
      </w:pPr>
      <w:r w:rsidRPr="00402D88">
        <w:rPr>
          <w:rFonts w:ascii="Arial" w:eastAsia="Times New Roman" w:hAnsi="Arial" w:cs="Arial"/>
          <w:b/>
          <w:bCs/>
          <w:sz w:val="20"/>
          <w:szCs w:val="20"/>
          <w:lang w:eastAsia="es-ES_tradnl"/>
        </w:rPr>
        <w:t>Actualización de la información documentos metodológico</w:t>
      </w:r>
    </w:p>
    <w:p w14:paraId="0F2E40B5" w14:textId="77777777" w:rsidR="00402D88" w:rsidRPr="00402D88" w:rsidRDefault="00402D88" w:rsidP="00402D88">
      <w:pPr>
        <w:pStyle w:val="pdq2pgselectionanchorcontainer"/>
        <w:rPr>
          <w:rFonts w:ascii="Arial" w:hAnsi="Arial" w:cs="Arial"/>
        </w:rPr>
      </w:pPr>
      <w:r w:rsidRPr="00402D88">
        <w:rPr>
          <w:rFonts w:ascii="Arial" w:hAnsi="Arial" w:cs="Arial"/>
        </w:rPr>
        <w:t>Durante el periodo se apoyó en la elaboración y actualización de los lineamientos técnicos aplicables a los proyectos de autogeneración fotovoltaica, ampliación de cobertura y mejoramiento de la infraestructura eléctrica del Programa Colombia Solar, mediante el análisis de las condiciones socioeconómicas, territoriales, energéticas y ambientales del departamento de Casanare.</w:t>
      </w:r>
    </w:p>
    <w:p w14:paraId="7C751C5E" w14:textId="77777777" w:rsidR="00402D88" w:rsidRPr="00402D88" w:rsidRDefault="00402D88" w:rsidP="00402D88">
      <w:pPr>
        <w:pStyle w:val="NormalWeb"/>
        <w:rPr>
          <w:rFonts w:ascii="Arial" w:hAnsi="Arial" w:cs="Arial"/>
        </w:rPr>
      </w:pPr>
      <w:r w:rsidRPr="00402D88">
        <w:rPr>
          <w:rFonts w:ascii="Arial" w:hAnsi="Arial" w:cs="Arial"/>
        </w:rPr>
        <w:t>El diagnóstico permitió establecer criterios para la focalización y priorización de las intervenciones, considerando la dispersión de la población rural, la pobreza multidimensional, la informalidad laboral, las dificultades de conectividad y las diferencias existentes entre el piedemonte urbano y los municipios de la sabana inundable. A partir de esta caracterización, se identificó que los proyectos deben orientarse prioritariamente hacia comunidades rurales, sedes educativas y usuarios ubicados en municipios apartados, con baja calidad o intermitencia del servicio eléctrico.</w:t>
      </w:r>
    </w:p>
    <w:p w14:paraId="33CE4054" w14:textId="77777777" w:rsidR="00402D88" w:rsidRPr="00402D88" w:rsidRDefault="00402D88" w:rsidP="00402D88">
      <w:pPr>
        <w:pStyle w:val="NormalWeb"/>
        <w:rPr>
          <w:rFonts w:ascii="Arial" w:hAnsi="Arial" w:cs="Arial"/>
        </w:rPr>
      </w:pPr>
      <w:r w:rsidRPr="00402D88">
        <w:rPr>
          <w:rFonts w:ascii="Arial" w:hAnsi="Arial" w:cs="Arial"/>
        </w:rPr>
        <w:t>Asimismo, se incorporaron criterios técnicos relacionados con la confiabilidad y resiliencia de las soluciones fotovoltaicas. Debido a las inundaciones estacionales, las sequías prolongadas, las dificultades de acceso y el deterioro de los indicadores de continuidad de ENERCA, los lineamientos deben contemplar estructuras y equipos adecuados para las condiciones climáticas del territorio, ubicación segura de los componentes, protección frente a humedad e inundaciones, facilidades de operación y mantenimiento, y sistemas de respaldo cuando las necesidades de los usuarios lo requieran.</w:t>
      </w:r>
    </w:p>
    <w:p w14:paraId="0A86ABDD" w14:textId="77777777" w:rsidR="00402D88" w:rsidRPr="00402D88" w:rsidRDefault="00402D88" w:rsidP="00402D88">
      <w:pPr>
        <w:pStyle w:val="NormalWeb"/>
        <w:rPr>
          <w:rFonts w:ascii="Arial" w:hAnsi="Arial" w:cs="Arial"/>
        </w:rPr>
      </w:pPr>
      <w:r w:rsidRPr="00402D88">
        <w:rPr>
          <w:rFonts w:ascii="Arial" w:hAnsi="Arial" w:cs="Arial"/>
        </w:rPr>
        <w:t>El análisis también permitió orientar lineamientos para la ampliación de cobertura mediante soluciones individuales o distribuidas en aquellos sectores donde la extensión de redes convencionales resulte técnica o económicamente limitada. De igual forma, se consideró la articulación de los proyectos con la infraestructura existente, la capacidad operativa del operador de red, los requerimientos de conexión y medición y las necesidades de mejoramiento de las redes asociadas.</w:t>
      </w:r>
    </w:p>
    <w:p w14:paraId="6B7BEC7D" w14:textId="77777777" w:rsidR="00402D88" w:rsidRPr="00402D88" w:rsidRDefault="00402D88" w:rsidP="00402D88">
      <w:pPr>
        <w:pStyle w:val="NormalWeb"/>
        <w:rPr>
          <w:rFonts w:ascii="Arial" w:hAnsi="Arial" w:cs="Arial"/>
        </w:rPr>
      </w:pPr>
      <w:r w:rsidRPr="00402D88">
        <w:rPr>
          <w:rFonts w:ascii="Arial" w:hAnsi="Arial" w:cs="Arial"/>
        </w:rPr>
        <w:t>En materia de sostenibilidad, se identificó la necesidad de incluir esquemas de capacitación, mantenimiento preventivo, reposición de componentes y acompañamiento posterior a la instalación, teniendo en cuenta que la elevada informalidad laboral puede limitar la capacidad de los hogares para asumir costos futuros. También se reconocieron oportunidades de cofinanciación y articulación institucional con la Gobernación de Casanare, los municipios y ENERCA.</w:t>
      </w:r>
    </w:p>
    <w:p w14:paraId="0C2C61E3" w14:textId="77777777" w:rsidR="00402D88" w:rsidRDefault="00402D88" w:rsidP="00402D88">
      <w:pPr>
        <w:pStyle w:val="NormalWeb"/>
        <w:rPr>
          <w:rFonts w:ascii="Arial" w:hAnsi="Arial" w:cs="Arial"/>
        </w:rPr>
      </w:pPr>
      <w:r w:rsidRPr="00402D88">
        <w:rPr>
          <w:rFonts w:ascii="Arial" w:hAnsi="Arial" w:cs="Arial"/>
        </w:rPr>
        <w:t>De esta manera, el documento aportó criterios territoriales y técnicos para que los lineamientos tipo del Programa Colombia Solar respondan a las condiciones reales de Casanare, mantengan coherencia con la normatividad vigente y permitan estructurar soluciones fotovoltaicas seguras, confiables, sostenibles y adaptadas al alcance de cada proyecto y del objeto contractual.</w:t>
      </w:r>
    </w:p>
    <w:p w14:paraId="717E4077" w14:textId="77777777" w:rsidR="00402D88" w:rsidRDefault="00402D88" w:rsidP="00402D88">
      <w:pPr>
        <w:pStyle w:val="NormalWeb"/>
        <w:rPr>
          <w:rFonts w:ascii="Arial" w:hAnsi="Arial" w:cs="Arial"/>
        </w:rPr>
      </w:pPr>
    </w:p>
    <w:p w14:paraId="17807568" w14:textId="1A2ED187" w:rsidR="00402D88" w:rsidRPr="00402D88" w:rsidRDefault="00402D88" w:rsidP="00402D88">
      <w:pPr>
        <w:pStyle w:val="NormalWeb"/>
        <w:rPr>
          <w:rFonts w:ascii="Arial" w:hAnsi="Arial" w:cs="Arial"/>
        </w:rPr>
      </w:pPr>
      <w:r w:rsidRPr="00ED157F">
        <w:rPr>
          <w:noProof/>
        </w:rPr>
        <w:lastRenderedPageBreak/>
        <w:drawing>
          <wp:inline distT="0" distB="0" distL="0" distR="0" wp14:anchorId="1128EC61" wp14:editId="2B8FC736">
            <wp:extent cx="5612130" cy="3155950"/>
            <wp:effectExtent l="0" t="0" r="7620" b="6350"/>
            <wp:docPr id="85836981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8369815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DDD851" w14:textId="43D9A225" w:rsidR="00071E60" w:rsidRPr="00402D88" w:rsidRDefault="00071E60" w:rsidP="00071E60">
      <w:pPr>
        <w:jc w:val="both"/>
        <w:rPr>
          <w:rFonts w:ascii="Arial" w:hAnsi="Arial" w:cs="Arial"/>
          <w:sz w:val="20"/>
          <w:szCs w:val="20"/>
        </w:rPr>
      </w:pPr>
    </w:p>
    <w:p w14:paraId="03E733B9" w14:textId="77777777" w:rsidR="00071E60" w:rsidRPr="00402D88" w:rsidRDefault="00071E60" w:rsidP="00071E60">
      <w:pPr>
        <w:jc w:val="both"/>
        <w:rPr>
          <w:rFonts w:ascii="Arial" w:hAnsi="Arial" w:cs="Arial"/>
          <w:sz w:val="20"/>
          <w:szCs w:val="20"/>
        </w:rPr>
      </w:pPr>
    </w:p>
    <w:p w14:paraId="7988A1A5" w14:textId="66CDC080" w:rsidR="00735C85" w:rsidRPr="00402D88" w:rsidRDefault="00735C85" w:rsidP="00C53084">
      <w:pPr>
        <w:jc w:val="center"/>
        <w:rPr>
          <w:rFonts w:ascii="Arial" w:hAnsi="Arial" w:cs="Arial"/>
          <w:sz w:val="20"/>
          <w:szCs w:val="20"/>
        </w:rPr>
      </w:pPr>
    </w:p>
    <w:p w14:paraId="7D46C403" w14:textId="77777777" w:rsidR="00735C85" w:rsidRPr="00402D88" w:rsidRDefault="00735C85">
      <w:pPr>
        <w:rPr>
          <w:rFonts w:ascii="Arial" w:hAnsi="Arial" w:cs="Arial"/>
          <w:sz w:val="20"/>
          <w:szCs w:val="20"/>
        </w:rPr>
      </w:pPr>
    </w:p>
    <w:p w14:paraId="41EF80FF" w14:textId="77777777" w:rsidR="00735C85" w:rsidRPr="00402D88" w:rsidRDefault="00735C85">
      <w:pPr>
        <w:rPr>
          <w:rFonts w:ascii="Arial" w:hAnsi="Arial" w:cs="Arial"/>
          <w:sz w:val="20"/>
          <w:szCs w:val="20"/>
        </w:rPr>
      </w:pPr>
    </w:p>
    <w:p w14:paraId="25C89ED1" w14:textId="77777777" w:rsidR="00735C85" w:rsidRPr="00402D88" w:rsidRDefault="00735C85">
      <w:pPr>
        <w:rPr>
          <w:rFonts w:ascii="Arial" w:hAnsi="Arial" w:cs="Arial"/>
          <w:sz w:val="20"/>
          <w:szCs w:val="20"/>
        </w:rPr>
      </w:pPr>
    </w:p>
    <w:p w14:paraId="2020CF21" w14:textId="7E5ECD95" w:rsidR="002B0121" w:rsidRPr="00402D88" w:rsidRDefault="002B0121">
      <w:pPr>
        <w:rPr>
          <w:rFonts w:ascii="Arial" w:hAnsi="Arial" w:cs="Arial"/>
          <w:sz w:val="20"/>
          <w:szCs w:val="20"/>
        </w:rPr>
      </w:pPr>
    </w:p>
    <w:p w14:paraId="2DA2ED57" w14:textId="1601BA3A" w:rsidR="00735C85" w:rsidRPr="00402D88" w:rsidRDefault="00735C85">
      <w:pPr>
        <w:rPr>
          <w:rFonts w:ascii="Arial" w:hAnsi="Arial" w:cs="Arial"/>
          <w:sz w:val="20"/>
          <w:szCs w:val="20"/>
        </w:rPr>
      </w:pPr>
    </w:p>
    <w:p w14:paraId="6EDE82E7" w14:textId="5B520887" w:rsidR="00735C85" w:rsidRPr="00402D88" w:rsidRDefault="00735C85">
      <w:pPr>
        <w:rPr>
          <w:rFonts w:ascii="Arial" w:hAnsi="Arial" w:cs="Arial"/>
          <w:sz w:val="20"/>
          <w:szCs w:val="20"/>
        </w:rPr>
      </w:pPr>
    </w:p>
    <w:p w14:paraId="6B84AF9D" w14:textId="751E0B7D" w:rsidR="00735C85" w:rsidRPr="00402D88" w:rsidRDefault="00735C85">
      <w:pPr>
        <w:rPr>
          <w:rFonts w:ascii="Arial" w:hAnsi="Arial" w:cs="Arial"/>
          <w:sz w:val="20"/>
          <w:szCs w:val="20"/>
        </w:rPr>
      </w:pPr>
    </w:p>
    <w:p w14:paraId="1BDEC847" w14:textId="1CABC28F" w:rsidR="00735C85" w:rsidRPr="00402D88" w:rsidRDefault="00735C85">
      <w:pPr>
        <w:rPr>
          <w:rFonts w:ascii="Arial" w:hAnsi="Arial" w:cs="Arial"/>
          <w:sz w:val="20"/>
          <w:szCs w:val="20"/>
        </w:rPr>
      </w:pPr>
    </w:p>
    <w:p w14:paraId="66F2E792" w14:textId="04539D14" w:rsidR="00735C85" w:rsidRPr="00402D88" w:rsidRDefault="00735C85">
      <w:pPr>
        <w:rPr>
          <w:rFonts w:ascii="Arial" w:hAnsi="Arial" w:cs="Arial"/>
          <w:sz w:val="20"/>
          <w:szCs w:val="20"/>
        </w:rPr>
      </w:pPr>
    </w:p>
    <w:p w14:paraId="43893D85" w14:textId="16BDB36D" w:rsidR="00735C85" w:rsidRPr="00402D88" w:rsidRDefault="00735C85">
      <w:pPr>
        <w:rPr>
          <w:rFonts w:ascii="Arial" w:hAnsi="Arial" w:cs="Arial"/>
          <w:sz w:val="20"/>
          <w:szCs w:val="20"/>
        </w:rPr>
      </w:pPr>
    </w:p>
    <w:p w14:paraId="531D8A81" w14:textId="77777777" w:rsidR="00735C85" w:rsidRPr="00402D88" w:rsidRDefault="00735C85">
      <w:pPr>
        <w:rPr>
          <w:rFonts w:ascii="Arial" w:hAnsi="Arial" w:cs="Arial"/>
          <w:sz w:val="20"/>
          <w:szCs w:val="20"/>
        </w:rPr>
      </w:pPr>
    </w:p>
    <w:p w14:paraId="4E4C1FEB" w14:textId="77777777" w:rsidR="00735C85" w:rsidRPr="00402D88" w:rsidRDefault="00735C85">
      <w:pPr>
        <w:rPr>
          <w:rFonts w:ascii="Arial" w:hAnsi="Arial" w:cs="Arial"/>
          <w:sz w:val="20"/>
          <w:szCs w:val="20"/>
        </w:rPr>
      </w:pPr>
    </w:p>
    <w:p w14:paraId="137FCD59" w14:textId="77777777" w:rsidR="00735C85" w:rsidRPr="00402D88" w:rsidRDefault="00735C85">
      <w:pPr>
        <w:rPr>
          <w:rFonts w:ascii="Arial" w:hAnsi="Arial" w:cs="Arial"/>
          <w:sz w:val="20"/>
          <w:szCs w:val="20"/>
        </w:rPr>
      </w:pPr>
    </w:p>
    <w:sectPr w:rsidR="00735C85" w:rsidRPr="00402D88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DE1D7B"/>
    <w:multiLevelType w:val="multilevel"/>
    <w:tmpl w:val="76E6F6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8BC0030"/>
    <w:multiLevelType w:val="multilevel"/>
    <w:tmpl w:val="E02486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062212121">
    <w:abstractNumId w:val="1"/>
  </w:num>
  <w:num w:numId="2" w16cid:durableId="82805813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35C85"/>
    <w:rsid w:val="000357A6"/>
    <w:rsid w:val="00066DBB"/>
    <w:rsid w:val="00071E60"/>
    <w:rsid w:val="0008029B"/>
    <w:rsid w:val="00084F56"/>
    <w:rsid w:val="000E27A1"/>
    <w:rsid w:val="001867AB"/>
    <w:rsid w:val="001B04F5"/>
    <w:rsid w:val="001F3D22"/>
    <w:rsid w:val="00280811"/>
    <w:rsid w:val="002B0121"/>
    <w:rsid w:val="002C3A8B"/>
    <w:rsid w:val="003A2708"/>
    <w:rsid w:val="003A37ED"/>
    <w:rsid w:val="00402D88"/>
    <w:rsid w:val="004A4F53"/>
    <w:rsid w:val="004C17A9"/>
    <w:rsid w:val="00553B8C"/>
    <w:rsid w:val="00561CDE"/>
    <w:rsid w:val="005B173C"/>
    <w:rsid w:val="005F2E2A"/>
    <w:rsid w:val="00636117"/>
    <w:rsid w:val="007149F0"/>
    <w:rsid w:val="00733A0D"/>
    <w:rsid w:val="00735C85"/>
    <w:rsid w:val="0074617F"/>
    <w:rsid w:val="007730AC"/>
    <w:rsid w:val="007D0576"/>
    <w:rsid w:val="007F40BB"/>
    <w:rsid w:val="008211F6"/>
    <w:rsid w:val="009214CA"/>
    <w:rsid w:val="0093000A"/>
    <w:rsid w:val="009517EA"/>
    <w:rsid w:val="00984FBE"/>
    <w:rsid w:val="009E1540"/>
    <w:rsid w:val="009F1ABE"/>
    <w:rsid w:val="009F26AE"/>
    <w:rsid w:val="00A31B0D"/>
    <w:rsid w:val="00B44C38"/>
    <w:rsid w:val="00B57C5F"/>
    <w:rsid w:val="00B67775"/>
    <w:rsid w:val="00BA6E90"/>
    <w:rsid w:val="00BF7E34"/>
    <w:rsid w:val="00C35DDF"/>
    <w:rsid w:val="00C53084"/>
    <w:rsid w:val="00CB007C"/>
    <w:rsid w:val="00CB3942"/>
    <w:rsid w:val="00CC30CF"/>
    <w:rsid w:val="00CC7D72"/>
    <w:rsid w:val="00CF3011"/>
    <w:rsid w:val="00D30A99"/>
    <w:rsid w:val="00D70783"/>
    <w:rsid w:val="00D92489"/>
    <w:rsid w:val="00DC5628"/>
    <w:rsid w:val="00DD051A"/>
    <w:rsid w:val="00E57F6A"/>
    <w:rsid w:val="00E8040B"/>
    <w:rsid w:val="00F17F08"/>
    <w:rsid w:val="00FB2A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22AECF"/>
  <w15:chartTrackingRefBased/>
  <w15:docId w15:val="{1E4896A0-4F6D-4429-B2B8-94D343BE49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617F"/>
  </w:style>
  <w:style w:type="paragraph" w:styleId="Ttulo1">
    <w:name w:val="heading 1"/>
    <w:basedOn w:val="Normal"/>
    <w:next w:val="Normal"/>
    <w:link w:val="Ttulo1Car"/>
    <w:uiPriority w:val="9"/>
    <w:qFormat/>
    <w:rsid w:val="00735C8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735C8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735C85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735C8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735C85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735C8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735C8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735C8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735C8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735C85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735C85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735C85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735C85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735C85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735C85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735C85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735C85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735C85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735C8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735C8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735C8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735C8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735C8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735C85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735C85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735C85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735C8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735C85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735C85"/>
    <w:rPr>
      <w:b/>
      <w:bCs/>
      <w:smallCaps/>
      <w:color w:val="0F4761" w:themeColor="accent1" w:themeShade="BF"/>
      <w:spacing w:val="5"/>
    </w:rPr>
  </w:style>
  <w:style w:type="character" w:styleId="Hipervnculo">
    <w:name w:val="Hyperlink"/>
    <w:basedOn w:val="Fuentedeprrafopredeter"/>
    <w:uiPriority w:val="99"/>
    <w:unhideWhenUsed/>
    <w:rsid w:val="000357A6"/>
    <w:rPr>
      <w:color w:val="467886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0357A6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unhideWhenUsed/>
    <w:rsid w:val="00402D8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es-CO"/>
      <w14:ligatures w14:val="none"/>
    </w:rPr>
  </w:style>
  <w:style w:type="paragraph" w:customStyle="1" w:styleId="pdq2pgselectionanchorcontainer">
    <w:name w:val="pdq2pg_selectionanchorcontainer"/>
    <w:basedOn w:val="Normal"/>
    <w:rsid w:val="00402D8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es-CO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</TotalTime>
  <Pages>2</Pages>
  <Words>391</Words>
  <Characters>2547</Characters>
  <Application>Microsoft Office Word</Application>
  <DocSecurity>0</DocSecurity>
  <Lines>56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Juan M Arana A</dc:creator>
  <cp:keywords/>
  <dc:description/>
  <cp:lastModifiedBy>Juan M. Arana Aguas</cp:lastModifiedBy>
  <cp:revision>57</cp:revision>
  <cp:lastPrinted>2026-06-08T20:14:00Z</cp:lastPrinted>
  <dcterms:created xsi:type="dcterms:W3CDTF">2026-03-13T16:22:00Z</dcterms:created>
  <dcterms:modified xsi:type="dcterms:W3CDTF">2026-08-05T13:11:00Z</dcterms:modified>
</cp:coreProperties>
</file>